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Graduado en </w:t>
      </w:r>
      <w:r w:rsidDel="00000000" w:rsidR="00000000" w:rsidRPr="00000000">
        <w:rPr>
          <w:rtl w:val="0"/>
        </w:rPr>
        <w:t xml:space="preserve">Ciencias Empresariales, especialidad en servicios de información.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Comienza su actividad profesional en 1979, con la Reforma Fiscal, desempeñando funciones de asesoramiento contable-fiscal, en numerosas empresas participando en Auditorias, siendo Jefe de Equipo de Auditores Senior, durante más de 20 años.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Tesorero de la Asociación Centro Internacional para la Conservación del Patrimonio CICOP.España desde 1994 y de la Fundación CICOP desde el año 2011, siendo coordinador técnico y financiero del Proyecto: Revalorización Sostenible del Patrimonio Natural y Arquitectónico y Desarrollo de Iniciativas Turísticas Bajas en Carbono en Canarias y Cabo Verde, con acrónimo SOSTURMAC (MAC/4.6c/115).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367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367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367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367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367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367F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367F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367F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367F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367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367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367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367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367FB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367F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367FB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367F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367F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367F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367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367F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367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367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367FB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367FB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367FB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367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367FB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367F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jZCCBixaJU31O2oKbp/0OyFwg==">CgMxLjA4AHIhMUcxMG1OUTZmUTNfRVA0UVJjVllJY2x0YXcxZjQ2NHdN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2024-09-03T20:13:00Z</dcterms:created>
  <dc:creator>MIGUEL ANGEL FERNANDEZ MATRAN</dc:creator>
</cp:coreProperties>
</file>